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AC8A" w14:textId="66877AC4" w:rsidR="00140AA4" w:rsidRDefault="00140AA4" w:rsidP="00140AA4">
      <w:pPr>
        <w:jc w:val="center"/>
      </w:pPr>
      <w:r>
        <w:rPr>
          <w:noProof/>
        </w:rPr>
        <w:drawing>
          <wp:inline distT="0" distB="0" distL="0" distR="0" wp14:anchorId="767D965A" wp14:editId="444B2913">
            <wp:extent cx="3810000" cy="990600"/>
            <wp:effectExtent l="0" t="0" r="0" b="0"/>
            <wp:docPr id="1451669786" name="Immagine 1" descr="Immagine che contiene testo, Carattere, schermata,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69786" name="Immagine 1" descr="Immagine che contiene testo, Carattere, schermata, Elementi grafici&#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3810000" cy="990600"/>
                    </a:xfrm>
                    <a:prstGeom prst="rect">
                      <a:avLst/>
                    </a:prstGeom>
                  </pic:spPr>
                </pic:pic>
              </a:graphicData>
            </a:graphic>
          </wp:inline>
        </w:drawing>
      </w:r>
    </w:p>
    <w:p w14:paraId="68D2F7D5" w14:textId="77777777" w:rsidR="00140AA4" w:rsidRDefault="00140AA4" w:rsidP="00564D92"/>
    <w:p w14:paraId="14AEB3A7" w14:textId="527BB2CE" w:rsidR="00564D92" w:rsidRDefault="00140AA4" w:rsidP="00564D92">
      <w:pPr>
        <w:rPr>
          <w:b/>
          <w:bCs/>
        </w:rPr>
      </w:pPr>
      <w:r w:rsidRPr="00140AA4">
        <w:rPr>
          <w:b/>
          <w:bCs/>
        </w:rPr>
        <w:t>TESTO INTEGRALE DELLA PRESENTAZIONE</w:t>
      </w:r>
    </w:p>
    <w:p w14:paraId="545CBD2B" w14:textId="77777777" w:rsidR="00140AA4" w:rsidRPr="00140AA4" w:rsidRDefault="00140AA4" w:rsidP="00564D92">
      <w:pPr>
        <w:rPr>
          <w:b/>
          <w:bCs/>
        </w:rPr>
      </w:pPr>
    </w:p>
    <w:p w14:paraId="0D2ED8D3" w14:textId="77777777" w:rsidR="00564D92" w:rsidRDefault="00564D92" w:rsidP="00564D92">
      <w:pPr>
        <w:spacing w:after="100"/>
        <w:jc w:val="both"/>
        <w:rPr>
          <w:rFonts w:ascii="Calibri" w:hAnsi="Calibri" w:cs="Calibri"/>
          <w:b/>
          <w:bCs/>
        </w:rPr>
      </w:pPr>
      <w:r>
        <w:rPr>
          <w:rFonts w:ascii="Calibri" w:hAnsi="Calibri" w:cs="Calibri"/>
          <w:u w:val="single"/>
        </w:rPr>
        <w:t>Proposta per il s</w:t>
      </w:r>
      <w:r w:rsidRPr="00960C24">
        <w:rPr>
          <w:rFonts w:ascii="Calibri" w:hAnsi="Calibri" w:cs="Calibri"/>
          <w:u w:val="single"/>
        </w:rPr>
        <w:t>econdo anno di ricerca (2024-</w:t>
      </w:r>
      <w:r>
        <w:rPr>
          <w:rFonts w:ascii="Calibri" w:hAnsi="Calibri" w:cs="Calibri"/>
          <w:u w:val="single"/>
        </w:rPr>
        <w:t>20</w:t>
      </w:r>
      <w:r w:rsidRPr="00960C24">
        <w:rPr>
          <w:rFonts w:ascii="Calibri" w:hAnsi="Calibri" w:cs="Calibri"/>
          <w:u w:val="single"/>
        </w:rPr>
        <w:t>25)</w:t>
      </w:r>
      <w:r w:rsidRPr="00960C24">
        <w:rPr>
          <w:rFonts w:ascii="Calibri" w:hAnsi="Calibri" w:cs="Calibri"/>
        </w:rPr>
        <w:t xml:space="preserve">: </w:t>
      </w:r>
      <w:r w:rsidRPr="00960C24">
        <w:rPr>
          <w:rFonts w:ascii="Calibri" w:hAnsi="Calibri" w:cs="Calibri"/>
          <w:b/>
          <w:bCs/>
        </w:rPr>
        <w:t>Vulnerabilità, diritto e diritti</w:t>
      </w:r>
    </w:p>
    <w:p w14:paraId="04EFAC4D" w14:textId="77777777" w:rsidR="00140AA4" w:rsidRDefault="00140AA4" w:rsidP="00564D92">
      <w:pPr>
        <w:spacing w:after="100"/>
        <w:jc w:val="both"/>
        <w:rPr>
          <w:rFonts w:ascii="Calibri" w:hAnsi="Calibri" w:cs="Calibri"/>
          <w:b/>
          <w:bCs/>
        </w:rPr>
      </w:pPr>
    </w:p>
    <w:p w14:paraId="5940D13F" w14:textId="77777777" w:rsidR="00564D92" w:rsidRPr="003E4D5E" w:rsidRDefault="00564D92" w:rsidP="00564D92">
      <w:pPr>
        <w:jc w:val="both"/>
        <w:rPr>
          <w:rFonts w:ascii="Calibri" w:hAnsi="Calibri" w:cs="Calibri"/>
        </w:rPr>
      </w:pPr>
      <w:r w:rsidRPr="003E4D5E">
        <w:rPr>
          <w:rFonts w:ascii="Calibri" w:hAnsi="Calibri" w:cs="Calibri"/>
        </w:rPr>
        <w:t xml:space="preserve">Per proseguire la riflessione sui vari significati e volti della vulnerabilità, il progetto di ricerca intende spostare il focus dalla reciprocità degli attori allo sguardo che il soggetto vulnerabile può avere di </w:t>
      </w:r>
      <w:proofErr w:type="gramStart"/>
      <w:r w:rsidRPr="003E4D5E">
        <w:rPr>
          <w:rFonts w:ascii="Calibri" w:hAnsi="Calibri" w:cs="Calibri"/>
        </w:rPr>
        <w:t>se</w:t>
      </w:r>
      <w:proofErr w:type="gramEnd"/>
      <w:r w:rsidRPr="003E4D5E">
        <w:rPr>
          <w:rFonts w:ascii="Calibri" w:hAnsi="Calibri" w:cs="Calibri"/>
        </w:rPr>
        <w:t xml:space="preserve"> stesso, con delle inevitabili implicazioni nel presentarsi all’altro. Nello specifico, dopo aver posto l’attenzione sull’incrocio degli io e dei tu in fase di riconoscimento e di risposta alla vulnerabilità, si intende ora affrontare il tema dell’identità del soggetto vulnerabile con la lente di ingrandimento </w:t>
      </w:r>
      <w:r w:rsidRPr="00786A36">
        <w:rPr>
          <w:rFonts w:ascii="Calibri" w:hAnsi="Calibri" w:cs="Calibri"/>
        </w:rPr>
        <w:t>del diritto e</w:t>
      </w:r>
      <w:r w:rsidRPr="003E4D5E">
        <w:rPr>
          <w:rFonts w:ascii="Calibri" w:hAnsi="Calibri" w:cs="Calibri"/>
        </w:rPr>
        <w:t xml:space="preserve"> dei diritti, mantenendo un’attenzione verso la vulnerabilità delle altre forme viventi, dell’ambiente nonché delle generazioni future.</w:t>
      </w:r>
    </w:p>
    <w:p w14:paraId="26A83960" w14:textId="77777777" w:rsidR="00564D92" w:rsidRPr="003E4D5E" w:rsidRDefault="00564D92" w:rsidP="00564D92">
      <w:pPr>
        <w:jc w:val="both"/>
        <w:rPr>
          <w:rFonts w:ascii="Calibri" w:hAnsi="Calibri" w:cs="Calibri"/>
        </w:rPr>
      </w:pPr>
      <w:r w:rsidRPr="003E4D5E">
        <w:rPr>
          <w:rFonts w:ascii="Calibri" w:hAnsi="Calibri" w:cs="Calibri"/>
        </w:rPr>
        <w:t xml:space="preserve">L’interazione tra il concetto di vulnerabilità e il lessico dei diritti, </w:t>
      </w:r>
      <w:r w:rsidRPr="007B0F56">
        <w:rPr>
          <w:rFonts w:ascii="Calibri" w:hAnsi="Calibri" w:cs="Calibri"/>
        </w:rPr>
        <w:t>non slegati da un’ermeneutica del diritto,</w:t>
      </w:r>
      <w:r w:rsidRPr="003E4D5E">
        <w:rPr>
          <w:rFonts w:ascii="Calibri" w:hAnsi="Calibri" w:cs="Calibri"/>
        </w:rPr>
        <w:t xml:space="preserve"> può concorrere positivamente alla qualificazione dei titolari di diritti, palesando le loro concrete condizioni di vulnerabilità </w:t>
      </w:r>
      <w:r w:rsidRPr="007B0F56">
        <w:rPr>
          <w:rFonts w:ascii="Calibri" w:hAnsi="Calibri" w:cs="Calibri"/>
        </w:rPr>
        <w:t>e bilanciando gli interventi nei confronti delle vulnerabilità speciali</w:t>
      </w:r>
      <w:r w:rsidRPr="003E4D5E">
        <w:rPr>
          <w:rFonts w:ascii="Calibri" w:hAnsi="Calibri" w:cs="Calibri"/>
        </w:rPr>
        <w:t xml:space="preserve">. Permangono tuttavia dei nodi problematici: relativamente all’ambito umano, si registrano episodi di conflitto tra diritti, come ad esempio tra il diritto alla salute e quello al lavoro, e si assiste a una proliferazione di nuovi diritti basati su preferenze individuali o desideri soggettivi. Per di più, la prospettiva </w:t>
      </w:r>
      <w:r w:rsidRPr="00342FAC">
        <w:rPr>
          <w:rFonts w:ascii="Calibri" w:hAnsi="Calibri" w:cs="Calibri"/>
        </w:rPr>
        <w:t xml:space="preserve">ormai consolidata del riconoscimento della dignità delle altre creature (animali, piante, ecosistemi) </w:t>
      </w:r>
      <w:r w:rsidRPr="003E4D5E">
        <w:rPr>
          <w:rFonts w:ascii="Calibri" w:hAnsi="Calibri" w:cs="Calibri"/>
        </w:rPr>
        <w:t xml:space="preserve">solleva degli interrogativi in merito al rapporto tra vita umana e </w:t>
      </w:r>
      <w:r w:rsidRPr="00342FAC">
        <w:rPr>
          <w:rFonts w:ascii="Calibri" w:hAnsi="Calibri" w:cs="Calibri"/>
        </w:rPr>
        <w:t>non umana</w:t>
      </w:r>
      <w:r w:rsidRPr="003E4D5E">
        <w:rPr>
          <w:rFonts w:ascii="Calibri" w:hAnsi="Calibri" w:cs="Calibri"/>
        </w:rPr>
        <w:t xml:space="preserve">, e l’introduzione nel quadro giuridico di un’esplicita tutela dell’ambiente e delle generazioni future (basti pensare alla modifica dell’art. 9 della nostra Costituzione) chiede delle risposte adeguate verso un’alterità </w:t>
      </w:r>
      <w:r w:rsidRPr="00342FAC">
        <w:rPr>
          <w:rFonts w:ascii="Calibri" w:hAnsi="Calibri" w:cs="Calibri"/>
        </w:rPr>
        <w:t>presente e</w:t>
      </w:r>
      <w:r w:rsidRPr="003E4D5E">
        <w:rPr>
          <w:rFonts w:ascii="Calibri" w:hAnsi="Calibri" w:cs="Calibri"/>
        </w:rPr>
        <w:t xml:space="preserve"> futura che è vulnerabile e “non ha voce”. In un tale scenario la risposta alle vulnerabilità e la ricerca di equilibrio in fase di tutela dei vari diritti costituiscono una vera e propria sfida. In quali termini allora i tratti della vulnerabilità possono favorire il riconoscimento e la promozione dei diritti? Come si può adeguatamente correlare la nozione di vulnerabilità con il paradigma dei diritti?</w:t>
      </w:r>
    </w:p>
    <w:p w14:paraId="1EADE966" w14:textId="77777777" w:rsidR="00564D92" w:rsidRPr="003E4D5E" w:rsidRDefault="00564D92" w:rsidP="00564D92">
      <w:pPr>
        <w:jc w:val="both"/>
        <w:rPr>
          <w:rFonts w:ascii="Calibri" w:hAnsi="Calibri" w:cs="Calibri"/>
        </w:rPr>
      </w:pPr>
      <w:r w:rsidRPr="003E4D5E">
        <w:rPr>
          <w:rFonts w:ascii="Calibri" w:hAnsi="Calibri" w:cs="Calibri"/>
        </w:rPr>
        <w:t>A partire da questi interrogativi, verranno proposti dapprima due seminari per progetto e poi un incontro conclusivo di carattere trasversale e applicativo dal titolo “Etica del cibo: tra diritto alla salute e sostenibilità ambientale”.</w:t>
      </w:r>
    </w:p>
    <w:p w14:paraId="10DFB983" w14:textId="77777777" w:rsidR="00564D92" w:rsidRPr="003E4D5E" w:rsidRDefault="00564D92" w:rsidP="00564D92">
      <w:pPr>
        <w:jc w:val="both"/>
        <w:rPr>
          <w:rFonts w:ascii="Calibri" w:hAnsi="Calibri" w:cs="Calibri"/>
        </w:rPr>
      </w:pPr>
      <w:r w:rsidRPr="003E4D5E">
        <w:rPr>
          <w:rFonts w:ascii="Calibri" w:hAnsi="Calibri" w:cs="Calibri"/>
        </w:rPr>
        <w:t>Nello specifico, il Progetto E</w:t>
      </w:r>
      <w:r>
        <w:rPr>
          <w:rFonts w:ascii="Calibri" w:hAnsi="Calibri" w:cs="Calibri"/>
        </w:rPr>
        <w:t xml:space="preserve">tica, </w:t>
      </w:r>
      <w:r w:rsidRPr="003E4D5E">
        <w:rPr>
          <w:rFonts w:ascii="Calibri" w:hAnsi="Calibri" w:cs="Calibri"/>
        </w:rPr>
        <w:t>F</w:t>
      </w:r>
      <w:r>
        <w:rPr>
          <w:rFonts w:ascii="Calibri" w:hAnsi="Calibri" w:cs="Calibri"/>
        </w:rPr>
        <w:t xml:space="preserve">ilosofia e </w:t>
      </w:r>
      <w:r w:rsidRPr="003E4D5E">
        <w:rPr>
          <w:rFonts w:ascii="Calibri" w:hAnsi="Calibri" w:cs="Calibri"/>
        </w:rPr>
        <w:t>T</w:t>
      </w:r>
      <w:r>
        <w:rPr>
          <w:rFonts w:ascii="Calibri" w:hAnsi="Calibri" w:cs="Calibri"/>
        </w:rPr>
        <w:t>eologia</w:t>
      </w:r>
      <w:r w:rsidRPr="003E4D5E">
        <w:rPr>
          <w:rFonts w:ascii="Calibri" w:hAnsi="Calibri" w:cs="Calibri"/>
        </w:rPr>
        <w:t xml:space="preserve"> </w:t>
      </w:r>
      <w:r>
        <w:rPr>
          <w:rFonts w:ascii="Calibri" w:hAnsi="Calibri" w:cs="Calibri"/>
        </w:rPr>
        <w:t xml:space="preserve">(EFT) </w:t>
      </w:r>
      <w:r w:rsidRPr="003E4D5E">
        <w:rPr>
          <w:rFonts w:ascii="Calibri" w:hAnsi="Calibri" w:cs="Calibri"/>
        </w:rPr>
        <w:t>intende riflettere dapprima sul rapporto tra il concetto di vulnerabilità e la nozione di diritto, e poi sulla vulnerabilità delle generazioni future. Per quanto riguarda il primo seminario, l’obiettivo è quello di cogliere l’apporto della filosofia del diritto e della teologia dei diritti in termini di interazione tra il linguaggio della vulnerabilità e la logica dei diritti. Per esempio, il carattere relazionale della vulnerabilità può favorire il superamento di una lettura meramente individualistica dei diritti e supportare la promozione di questi ultimi, incoraggiando un’immagine più concreta delle realtà vulnerabili. A sua volta, la pratica dei diritti può portare l’attenzione su quelle condizioni di vulnerabilità che non sono ancora oggetto di particolare tutela. Approfondendo nel secondo incontro il tema della vulnerabilità delle generazioni future, si intende porre l’accento su coloro che, ancor prima della loro nascita, sono già vittime di violazioni dei diritti fondamentali a causa delle azioni dei presenti. L’obiettivo è allora quello di indagare le strategie di carattere etico e teologico che possono consentire di rispondere all’appello dell’alterità futura e di affrontare le questioni di giustizia intergenerazionale.</w:t>
      </w:r>
    </w:p>
    <w:p w14:paraId="71DC86B1" w14:textId="77777777" w:rsidR="00564D92" w:rsidRPr="003E4D5E" w:rsidRDefault="00564D92" w:rsidP="00564D92">
      <w:pPr>
        <w:jc w:val="both"/>
        <w:rPr>
          <w:rFonts w:ascii="Calibri" w:hAnsi="Calibri" w:cs="Calibri"/>
        </w:rPr>
      </w:pPr>
      <w:r w:rsidRPr="00F63926">
        <w:rPr>
          <w:rFonts w:ascii="Calibri" w:hAnsi="Calibri" w:cs="Calibri"/>
        </w:rPr>
        <w:lastRenderedPageBreak/>
        <w:t>Il progetto Etica e Medicina</w:t>
      </w:r>
      <w:r>
        <w:rPr>
          <w:rFonts w:ascii="Calibri" w:hAnsi="Calibri" w:cs="Calibri"/>
        </w:rPr>
        <w:t xml:space="preserve"> (EM)</w:t>
      </w:r>
      <w:r w:rsidRPr="00F63926">
        <w:rPr>
          <w:rFonts w:ascii="Calibri" w:hAnsi="Calibri" w:cs="Calibri"/>
        </w:rPr>
        <w:t xml:space="preserve"> intende riflettere sul tema del diritto alla salute, che riguarda l’ambito sanitario ma che intreccia in modo fondamentale anche gli altri Progetti. A partire da questo sguardo è possibile calarsi su alcune declinazioni che nel quadro della bioetica contemporanea hanno fatto emergere uno scontro tra princìpi, con il ricorso all’autonomia sovente in contrasto con il principio di </w:t>
      </w:r>
      <w:proofErr w:type="spellStart"/>
      <w:r w:rsidRPr="00F63926">
        <w:rPr>
          <w:rFonts w:ascii="Calibri" w:hAnsi="Calibri" w:cs="Calibri"/>
        </w:rPr>
        <w:t>beneficità</w:t>
      </w:r>
      <w:proofErr w:type="spellEnd"/>
      <w:r w:rsidRPr="00F63926">
        <w:rPr>
          <w:rFonts w:ascii="Calibri" w:hAnsi="Calibri" w:cs="Calibri"/>
        </w:rPr>
        <w:t>. In questa direzione si prenderà specificamente in esame il tema della medicina difensiva, sia per evidenziarne le conseguenze negative a livello di vulnerabilità sistemica, sia per rilanciare elementi positivo-propositivi che incrocino l’etica clinica con l’etica organizzativa. Negli appuntamenti sarà dunque fondamentale la cornice del diritto come orizzonte di lettura dei diritti, tra eccessi rivendicativi e un’ermeneutica dei contesti di riferimento in evoluzione.</w:t>
      </w:r>
    </w:p>
    <w:p w14:paraId="342825AB" w14:textId="77777777" w:rsidR="00564D92" w:rsidRPr="003E4D5E" w:rsidRDefault="00564D92" w:rsidP="00564D92">
      <w:pPr>
        <w:jc w:val="both"/>
        <w:rPr>
          <w:rFonts w:ascii="Calibri" w:hAnsi="Calibri" w:cs="Calibri"/>
        </w:rPr>
      </w:pPr>
      <w:r w:rsidRPr="00F63926">
        <w:rPr>
          <w:rFonts w:ascii="Calibri" w:hAnsi="Calibri" w:cs="Calibri"/>
        </w:rPr>
        <w:t>Il Progetto Etica e Politiche Ambientali</w:t>
      </w:r>
      <w:r>
        <w:rPr>
          <w:rFonts w:ascii="Calibri" w:hAnsi="Calibri" w:cs="Calibri"/>
        </w:rPr>
        <w:t xml:space="preserve"> (EPA)</w:t>
      </w:r>
      <w:r w:rsidRPr="00F63926">
        <w:rPr>
          <w:rFonts w:ascii="Calibri" w:hAnsi="Calibri" w:cs="Calibri"/>
        </w:rPr>
        <w:t xml:space="preserve"> propone di riflettere sul rapporto tra tutela dell’ambiente e diritti umani, anche alla luce della recente modifica costituzionale, analizzando poi alcune situazioni specifiche di vulnerabilità che impattano sull</w:t>
      </w:r>
      <w:r>
        <w:rPr>
          <w:rFonts w:ascii="Calibri" w:hAnsi="Calibri" w:cs="Calibri"/>
        </w:rPr>
        <w:t>e</w:t>
      </w:r>
      <w:r w:rsidRPr="00F63926">
        <w:rPr>
          <w:rFonts w:ascii="Calibri" w:hAnsi="Calibri" w:cs="Calibri"/>
        </w:rPr>
        <w:t xml:space="preserve"> condizioni attuali e future delle persone e dell’ambiente naturale.</w:t>
      </w:r>
      <w:r>
        <w:rPr>
          <w:rFonts w:ascii="Calibri" w:hAnsi="Calibri" w:cs="Calibri"/>
        </w:rPr>
        <w:t xml:space="preserve"> </w:t>
      </w:r>
      <w:r w:rsidRPr="00F63926">
        <w:rPr>
          <w:rFonts w:ascii="Calibri" w:hAnsi="Calibri" w:cs="Calibri"/>
        </w:rPr>
        <w:t>Nel primo seminario si inte</w:t>
      </w:r>
      <w:r>
        <w:rPr>
          <w:rFonts w:ascii="Calibri" w:hAnsi="Calibri" w:cs="Calibri"/>
        </w:rPr>
        <w:t>n</w:t>
      </w:r>
      <w:r w:rsidRPr="00F63926">
        <w:rPr>
          <w:rFonts w:ascii="Calibri" w:hAnsi="Calibri" w:cs="Calibri"/>
        </w:rPr>
        <w:t xml:space="preserve">de discutere i temi della dignità delle altre creature e del diritto all’ambiente che trova la sua giuridicità non tanto nell’appropriazione individuale, ma nel fatto che la legge, nell’interesse della collettività, sottopone a tutela i beni ambientali. L’approccio è quello di una rilettura in chiave ecologica dei diritti umani evidenziando lo stretto legame tra godimento degli stessi e degrado dell’ambiente naturale e come alcuni diritti fondamentali siano oggetto di violazione nelle situazioni in cui si realizzano aggressioni sistematiche nei confronti dell’ambiente, attraverso l’inquinamento delle sue matrici primarie (aria, acqua, suolo) e lo sfruttamento delle risorse naturali. Nel secondo incontro, più di carattere applicativo, si vuole analizzare a partire da alcune situazioni specifiche di vulnerabilità quali risposte - normative, politiche, culturali - adottare per tutelare la qualità della vita e dell’ambiente di fronte </w:t>
      </w:r>
      <w:r>
        <w:rPr>
          <w:rFonts w:ascii="Calibri" w:hAnsi="Calibri" w:cs="Calibri"/>
        </w:rPr>
        <w:t>a</w:t>
      </w:r>
      <w:r w:rsidRPr="00F63926">
        <w:rPr>
          <w:rFonts w:ascii="Calibri" w:hAnsi="Calibri" w:cs="Calibri"/>
        </w:rPr>
        <w:t>lla “</w:t>
      </w:r>
      <w:proofErr w:type="spellStart"/>
      <w:r w:rsidRPr="00F63926">
        <w:rPr>
          <w:rFonts w:ascii="Calibri" w:hAnsi="Calibri" w:cs="Calibri"/>
        </w:rPr>
        <w:t>policrisi</w:t>
      </w:r>
      <w:proofErr w:type="spellEnd"/>
      <w:r w:rsidRPr="00F63926">
        <w:rPr>
          <w:rFonts w:ascii="Calibri" w:hAnsi="Calibri" w:cs="Calibri"/>
        </w:rPr>
        <w:t>” attuale caratterizzata da cambiamento climatico, perdita di biodiversità e inquinamento.</w:t>
      </w:r>
    </w:p>
    <w:p w14:paraId="0339E438" w14:textId="77777777" w:rsidR="00564D92" w:rsidRPr="003E4D5E" w:rsidRDefault="00564D92" w:rsidP="00564D92">
      <w:pPr>
        <w:jc w:val="both"/>
        <w:rPr>
          <w:rFonts w:ascii="Calibri" w:hAnsi="Calibri" w:cs="Calibri"/>
        </w:rPr>
      </w:pPr>
      <w:r w:rsidRPr="003E4D5E">
        <w:rPr>
          <w:rFonts w:ascii="Calibri" w:hAnsi="Calibri" w:cs="Calibri"/>
        </w:rPr>
        <w:t>L’incontro conclusivo dal titolo “Etica del cibo: tra diritto alla salute e sostenibilità ambientale” intende declinare il nutrimento come la cartina di tornasole del rapporto tra vulnerabilità e diritti indagato negli incontri precedenti. Innanzitutto, il nutrimento palesa la vulnerabilità del vivente perché è espressione di un bisogno che, per essere soddisfatto, richiede un rapporto continuo con l’ambiente circostante. Per l’essere umano i livelli di significato del cibo vanno però ben oltre il soddisfacimento dei bisogni fisiologici: il nutrimento non è esclusivamente finalizzato alla sopravvivenza, ma coinvolge anche la dimensione culturale del singolo e può presentare degli aspetti di natura religiosa. Il quadro si arricchisce ancor di più nel momento in cui si prendono in considerazione i significati psicologici, affettivi, relazionali ed etici dell’atto di nutrirsi e di nutrire. In particolare, il lessico dei diritti consente di cogliere ulteriormente le istanze etiche legate all’alimentazione: il diritto al cibo costituisce un diritto umano fondamentale (art. 25 della Dichiarazione Universale dei Diritti Umani del 1948, risoluzione 7/14 del 27 marzo 2008) che viene davvero tutelato e promosso non solo quando il cibo è disponibile, ma anche nel momento in cui esso risulta accessibile, sicuro e adeguato.</w:t>
      </w:r>
    </w:p>
    <w:p w14:paraId="400D140B" w14:textId="5EF4FCAD" w:rsidR="00564D92" w:rsidRDefault="00564D92" w:rsidP="00564D92">
      <w:r w:rsidRPr="003E4D5E">
        <w:rPr>
          <w:rFonts w:ascii="Calibri" w:hAnsi="Calibri" w:cs="Calibri"/>
        </w:rPr>
        <w:t>Siamo quindi dinnanzi a una tematica che rinvia a un altro diritto fondamentale, ovverosia al diritto alla salute, ma che al tempo stesso invita a riflettere sui nostri stili di vita e sulla rete di relazioni che caratterizza il nostro vivere quotidiano. Ed è proprio in questa direzione che opera l’etica del cibo (</w:t>
      </w:r>
      <w:r w:rsidRPr="003E4D5E">
        <w:rPr>
          <w:rFonts w:ascii="Calibri" w:hAnsi="Calibri" w:cs="Calibri"/>
          <w:i/>
          <w:iCs/>
        </w:rPr>
        <w:t>food ethics</w:t>
      </w:r>
      <w:r w:rsidRPr="003E4D5E">
        <w:rPr>
          <w:rFonts w:ascii="Calibri" w:hAnsi="Calibri" w:cs="Calibri"/>
        </w:rPr>
        <w:t xml:space="preserve">): oltre a favorire un esame critico delle odierne contraddizioni relative al nutrimento (fame, malnutrizione, obesità, perdita di cibo nella catena produttiva e spreco alimentare), la </w:t>
      </w:r>
      <w:r w:rsidRPr="003E4D5E">
        <w:rPr>
          <w:rFonts w:ascii="Calibri" w:hAnsi="Calibri" w:cs="Calibri"/>
          <w:i/>
          <w:iCs/>
        </w:rPr>
        <w:t>food ethics</w:t>
      </w:r>
      <w:r w:rsidRPr="003E4D5E">
        <w:rPr>
          <w:rFonts w:ascii="Calibri" w:hAnsi="Calibri" w:cs="Calibri"/>
        </w:rPr>
        <w:t xml:space="preserve"> indaga l’impatto che la produzione di cibo e le scelte alimentari hanno sulle varie forme viventi e sull’ambiente in cui viviamo. In effetti, il nutrimento costituisce un atto relazionale, che palesa quindi le relazioni che instauriamo con gli esseri viventi (non solo umani) e con l’intero ecosistema. Ecco perché, come afferma Adriano Fabris, «</w:t>
      </w:r>
      <w:r w:rsidRPr="003E4D5E">
        <w:rPr>
          <w:rFonts w:ascii="Calibri" w:hAnsi="Calibri" w:cs="Calibri"/>
          <w:i/>
          <w:iCs/>
        </w:rPr>
        <w:t>cibo è relazione, relazione in atto; cibo è simbolo di tutte le relazioni che ci coinvolgono; mangiare eticamente è attuare una relazione equilibrata e responsabile con questo nucleo di relazioni che è il nostro cibo quotidiano</w:t>
      </w:r>
      <w:r w:rsidRPr="003E4D5E">
        <w:rPr>
          <w:rFonts w:ascii="Calibri" w:hAnsi="Calibri" w:cs="Calibri"/>
        </w:rPr>
        <w:t xml:space="preserve">» (A. Fabris, </w:t>
      </w:r>
      <w:r w:rsidRPr="003E4D5E">
        <w:rPr>
          <w:rFonts w:ascii="Calibri" w:hAnsi="Calibri" w:cs="Calibri"/>
          <w:i/>
          <w:iCs/>
        </w:rPr>
        <w:t>Etica del mangiare. Cibo e relazione</w:t>
      </w:r>
      <w:r w:rsidRPr="003E4D5E">
        <w:rPr>
          <w:rFonts w:ascii="Calibri" w:hAnsi="Calibri" w:cs="Calibri"/>
        </w:rPr>
        <w:t>, ETS, Pisa 2019, p. 100).</w:t>
      </w:r>
    </w:p>
    <w:sectPr w:rsidR="00564D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92"/>
    <w:rsid w:val="00140AA4"/>
    <w:rsid w:val="00564D92"/>
    <w:rsid w:val="00AE70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9600"/>
  <w15:chartTrackingRefBased/>
  <w15:docId w15:val="{371D12AA-58A4-9648-BFEC-866F95B1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4D92"/>
    <w:pPr>
      <w:spacing w:line="259" w:lineRule="auto"/>
    </w:pPr>
    <w:rPr>
      <w:sz w:val="22"/>
      <w:szCs w:val="22"/>
    </w:rPr>
  </w:style>
  <w:style w:type="paragraph" w:styleId="Titolo1">
    <w:name w:val="heading 1"/>
    <w:basedOn w:val="Normale"/>
    <w:next w:val="Normale"/>
    <w:link w:val="Titolo1Carattere"/>
    <w:uiPriority w:val="9"/>
    <w:qFormat/>
    <w:rsid w:val="00564D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64D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64D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64D9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564D92"/>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564D9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564D92"/>
    <w:pPr>
      <w:keepNext/>
      <w:keepLines/>
      <w:spacing w:before="40" w:after="0" w:line="278"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564D92"/>
    <w:pPr>
      <w:keepNext/>
      <w:keepLines/>
      <w:spacing w:after="0" w:line="278"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564D92"/>
    <w:pPr>
      <w:keepNext/>
      <w:keepLines/>
      <w:spacing w:after="0" w:line="278"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64D9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64D9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64D9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64D9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64D9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64D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64D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64D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64D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64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64D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64D92"/>
    <w:pPr>
      <w:numPr>
        <w:ilvl w:val="1"/>
      </w:numPr>
      <w:spacing w:line="278"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64D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64D92"/>
    <w:pPr>
      <w:spacing w:before="160" w:line="278"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564D92"/>
    <w:rPr>
      <w:i/>
      <w:iCs/>
      <w:color w:val="404040" w:themeColor="text1" w:themeTint="BF"/>
    </w:rPr>
  </w:style>
  <w:style w:type="paragraph" w:styleId="Paragrafoelenco">
    <w:name w:val="List Paragraph"/>
    <w:basedOn w:val="Normale"/>
    <w:uiPriority w:val="34"/>
    <w:qFormat/>
    <w:rsid w:val="00564D92"/>
    <w:pPr>
      <w:spacing w:line="278" w:lineRule="auto"/>
      <w:ind w:left="720"/>
      <w:contextualSpacing/>
    </w:pPr>
    <w:rPr>
      <w:sz w:val="24"/>
      <w:szCs w:val="24"/>
    </w:rPr>
  </w:style>
  <w:style w:type="character" w:styleId="Enfasiintensa">
    <w:name w:val="Intense Emphasis"/>
    <w:basedOn w:val="Carpredefinitoparagrafo"/>
    <w:uiPriority w:val="21"/>
    <w:qFormat/>
    <w:rsid w:val="00564D92"/>
    <w:rPr>
      <w:i/>
      <w:iCs/>
      <w:color w:val="0F4761" w:themeColor="accent1" w:themeShade="BF"/>
    </w:rPr>
  </w:style>
  <w:style w:type="paragraph" w:styleId="Citazioneintensa">
    <w:name w:val="Intense Quote"/>
    <w:basedOn w:val="Normale"/>
    <w:next w:val="Normale"/>
    <w:link w:val="CitazioneintensaCarattere"/>
    <w:uiPriority w:val="30"/>
    <w:qFormat/>
    <w:rsid w:val="00564D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564D92"/>
    <w:rPr>
      <w:i/>
      <w:iCs/>
      <w:color w:val="0F4761" w:themeColor="accent1" w:themeShade="BF"/>
    </w:rPr>
  </w:style>
  <w:style w:type="character" w:styleId="Riferimentointenso">
    <w:name w:val="Intense Reference"/>
    <w:basedOn w:val="Carpredefinitoparagrafo"/>
    <w:uiPriority w:val="32"/>
    <w:qFormat/>
    <w:rsid w:val="00564D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1286</Words>
  <Characters>7334</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 salmaso</dc:creator>
  <cp:keywords/>
  <dc:description/>
  <cp:lastModifiedBy>Gianluca salmaso</cp:lastModifiedBy>
  <cp:revision>1</cp:revision>
  <dcterms:created xsi:type="dcterms:W3CDTF">2025-01-13T09:53:00Z</dcterms:created>
  <dcterms:modified xsi:type="dcterms:W3CDTF">2025-01-13T10:23:00Z</dcterms:modified>
</cp:coreProperties>
</file>